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7114B48E" w:rsidR="00D309CC" w:rsidRPr="007E0107" w:rsidRDefault="00D309CC" w:rsidP="00D46431">
      <w:pPr>
        <w:pStyle w:val="CH"/>
      </w:pPr>
      <w:bookmarkStart w:id="0" w:name="historyclause"/>
      <w:r w:rsidRPr="007E0107">
        <w:t>3GPP RAN</w:t>
      </w:r>
      <w:r w:rsidR="00CF20E3" w:rsidRPr="007E0107">
        <w:t xml:space="preserve"> </w:t>
      </w:r>
      <w:r w:rsidRPr="007E0107">
        <w:t>WG</w:t>
      </w:r>
      <w:r w:rsidR="009F0E8D" w:rsidRPr="007E0107">
        <w:t>4</w:t>
      </w:r>
      <w:r w:rsidRPr="007E0107">
        <w:t xml:space="preserve"> Meeting #</w:t>
      </w:r>
      <w:r w:rsidR="009F0E8D" w:rsidRPr="007E0107">
        <w:t>9</w:t>
      </w:r>
      <w:r w:rsidR="002C7C06" w:rsidRPr="007E0107">
        <w:t>8</w:t>
      </w:r>
      <w:r w:rsidR="00331EE3" w:rsidRPr="007E0107">
        <w:t>-e</w:t>
      </w:r>
      <w:r w:rsidRPr="007E0107">
        <w:tab/>
      </w:r>
      <w:r w:rsidR="00D46431" w:rsidRPr="007E0107">
        <w:tab/>
      </w:r>
      <w:r w:rsidR="007E0107" w:rsidRPr="007E0107">
        <w:t>R4-2102891</w:t>
      </w:r>
    </w:p>
    <w:p w14:paraId="50DC9730" w14:textId="425CD425" w:rsidR="00D309CC" w:rsidRPr="007E0107" w:rsidRDefault="005B0B43" w:rsidP="00D46431">
      <w:pPr>
        <w:pStyle w:val="CH"/>
        <w:tabs>
          <w:tab w:val="clear" w:pos="7920"/>
        </w:tabs>
        <w:rPr>
          <w:b w:val="0"/>
        </w:rPr>
      </w:pPr>
      <w:r w:rsidRPr="007E0107">
        <w:t xml:space="preserve">Electronic meeting, </w:t>
      </w:r>
      <w:r w:rsidR="002C7C06" w:rsidRPr="007E0107">
        <w:t>25th</w:t>
      </w:r>
      <w:r w:rsidRPr="007E0107">
        <w:t xml:space="preserve"> </w:t>
      </w:r>
      <w:r w:rsidR="002C7C06" w:rsidRPr="007E0107">
        <w:t xml:space="preserve">Jan </w:t>
      </w:r>
      <w:r w:rsidRPr="007E0107">
        <w:t xml:space="preserve">– </w:t>
      </w:r>
      <w:r w:rsidR="002C7C06" w:rsidRPr="007E0107">
        <w:t>5</w:t>
      </w:r>
      <w:r w:rsidRPr="007E0107">
        <w:t xml:space="preserve">th </w:t>
      </w:r>
      <w:r w:rsidR="002C7C06" w:rsidRPr="007E0107">
        <w:t>Feb</w:t>
      </w:r>
      <w:r w:rsidRPr="007E0107">
        <w:t xml:space="preserve"> 202</w:t>
      </w:r>
      <w:r w:rsidR="002C7C06" w:rsidRPr="007E0107">
        <w:t>1</w:t>
      </w:r>
      <w:r w:rsidR="00D46431" w:rsidRPr="007E0107">
        <w:tab/>
      </w:r>
    </w:p>
    <w:p w14:paraId="39A0EE25" w14:textId="77777777" w:rsidR="00D309CC" w:rsidRPr="007E0107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07FCC1D" w:rsidR="00D309CC" w:rsidRPr="0008103A" w:rsidRDefault="00D309CC" w:rsidP="00D309CC">
      <w:pPr>
        <w:pStyle w:val="CH"/>
        <w:rPr>
          <w:b w:val="0"/>
        </w:rPr>
      </w:pPr>
      <w:r w:rsidRPr="007E0107">
        <w:t>Agenda item:</w:t>
      </w:r>
      <w:r w:rsidRPr="007E0107">
        <w:tab/>
      </w:r>
      <w:r w:rsidR="004D3178" w:rsidRPr="007E0107">
        <w:t>8</w:t>
      </w:r>
    </w:p>
    <w:p w14:paraId="4DBE005A" w14:textId="0336AC1B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A93305" w:rsidRPr="00A93305">
        <w:t>Qualcomm Incorporated</w:t>
      </w:r>
    </w:p>
    <w:p w14:paraId="0D2061A1" w14:textId="0EC91B8E" w:rsidR="00D309CC" w:rsidRDefault="00D309CC" w:rsidP="005619F8">
      <w:pPr>
        <w:pStyle w:val="CH"/>
        <w:ind w:left="2268" w:hanging="2268"/>
      </w:pPr>
      <w:r w:rsidRPr="0008103A">
        <w:t>Title:</w:t>
      </w:r>
      <w:r w:rsidRPr="0008103A">
        <w:tab/>
      </w:r>
      <w:r w:rsidR="009704EE">
        <w:t xml:space="preserve">UE feature on </w:t>
      </w:r>
      <w:bookmarkStart w:id="1" w:name="_GoBack"/>
      <w:bookmarkEnd w:id="1"/>
      <w:r w:rsidR="009704EE">
        <w:t>Simultaneous dormant BWP switching</w:t>
      </w:r>
    </w:p>
    <w:p w14:paraId="6C6D1281" w14:textId="182CACBE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729FA">
        <w:t>Rel-</w:t>
      </w:r>
      <w:r w:rsidR="001729FA" w:rsidRPr="001729FA">
        <w:t>16</w:t>
      </w:r>
    </w:p>
    <w:p w14:paraId="2E4E044D" w14:textId="1E179A88" w:rsidR="00D309CC" w:rsidRDefault="00D309CC" w:rsidP="00D309CC">
      <w:pPr>
        <w:pStyle w:val="CH"/>
      </w:pPr>
      <w:r>
        <w:t>Document for:</w:t>
      </w:r>
      <w:r>
        <w:tab/>
      </w:r>
      <w:r w:rsidR="00331EE3">
        <w:t>Decision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787BDEC" w14:textId="06E10B9C" w:rsidR="00FA48E3" w:rsidRDefault="00FA48E3" w:rsidP="008E7986">
      <w:r>
        <w:t>During the previous RAN4#97e meeting, RAN</w:t>
      </w:r>
      <w:r w:rsidR="00E01B29">
        <w:t>4 made the following agreement</w:t>
      </w:r>
      <w:r w:rsidR="00155516">
        <w:t xml:space="preserve"> </w:t>
      </w:r>
      <w:r w:rsidR="00E01B29">
        <w:t>[1].</w:t>
      </w:r>
    </w:p>
    <w:p w14:paraId="4458476C" w14:textId="77777777" w:rsidR="00F32B0A" w:rsidRPr="00AB37A7" w:rsidRDefault="00F32B0A" w:rsidP="00F32B0A">
      <w:pPr>
        <w:ind w:left="1080" w:hanging="1080"/>
        <w:jc w:val="both"/>
        <w:rPr>
          <w:b/>
          <w:bCs/>
          <w:lang w:val="en-US"/>
        </w:rPr>
      </w:pPr>
      <w:r w:rsidRPr="00AB37A7">
        <w:rPr>
          <w:rFonts w:eastAsiaTheme="minorEastAsia"/>
          <w:b/>
          <w:bCs/>
          <w:highlight w:val="green"/>
          <w:lang w:val="sv-SE"/>
        </w:rPr>
        <w:t>Agreement:</w:t>
      </w:r>
    </w:p>
    <w:p w14:paraId="09B8C64A" w14:textId="77777777" w:rsidR="00AB37A7" w:rsidRPr="00042184" w:rsidRDefault="0037446E" w:rsidP="00042184">
      <w:pPr>
        <w:pStyle w:val="ListParagraph"/>
        <w:numPr>
          <w:ilvl w:val="0"/>
          <w:numId w:val="12"/>
        </w:numPr>
        <w:jc w:val="both"/>
        <w:rPr>
          <w:b/>
          <w:bCs/>
          <w:lang w:val="en-US"/>
        </w:rPr>
      </w:pPr>
      <w:r w:rsidRPr="00042184">
        <w:rPr>
          <w:rFonts w:eastAsiaTheme="minorEastAsia"/>
          <w:b/>
          <w:bCs/>
        </w:rPr>
        <w:t xml:space="preserve">Option 1: Introduce a capability D’ for dormant BWP switching of multiple </w:t>
      </w:r>
      <w:proofErr w:type="spellStart"/>
      <w:r w:rsidRPr="00042184">
        <w:rPr>
          <w:rFonts w:eastAsiaTheme="minorEastAsia"/>
          <w:b/>
          <w:bCs/>
        </w:rPr>
        <w:t>SCells</w:t>
      </w:r>
      <w:proofErr w:type="spellEnd"/>
      <w:r w:rsidRPr="00042184">
        <w:rPr>
          <w:rFonts w:eastAsiaTheme="minorEastAsia"/>
          <w:b/>
          <w:bCs/>
        </w:rPr>
        <w:t xml:space="preserve"> that is separate</w:t>
      </w:r>
      <w:r w:rsidR="00F32B0A" w:rsidRPr="00042184">
        <w:rPr>
          <w:rFonts w:eastAsiaTheme="minorEastAsia"/>
          <w:b/>
          <w:bCs/>
        </w:rPr>
        <w:t xml:space="preserve"> </w:t>
      </w:r>
      <w:r w:rsidRPr="00042184">
        <w:rPr>
          <w:rFonts w:eastAsiaTheme="minorEastAsia"/>
          <w:b/>
          <w:bCs/>
        </w:rPr>
        <w:t xml:space="preserve">from corresponding capability D for active BWP switching. </w:t>
      </w:r>
    </w:p>
    <w:p w14:paraId="37D9F19D" w14:textId="02872549" w:rsidR="00E01B29" w:rsidRDefault="008E7442" w:rsidP="008E7986">
      <w:r>
        <w:t xml:space="preserve">In order to reflect the agreed UE capability into </w:t>
      </w:r>
      <w:r w:rsidR="00303ADC">
        <w:t xml:space="preserve">the </w:t>
      </w:r>
      <w:r>
        <w:t xml:space="preserve">feature </w:t>
      </w:r>
      <w:r w:rsidR="00303ADC">
        <w:t>list</w:t>
      </w:r>
      <w:r w:rsidR="005D6163">
        <w:t xml:space="preserve"> accordingly, the following suggest is also included in the approved WF</w:t>
      </w:r>
      <w:r w:rsidR="00155516">
        <w:t xml:space="preserve"> </w:t>
      </w:r>
      <w:r w:rsidR="005D6163">
        <w:t>[1].</w:t>
      </w:r>
    </w:p>
    <w:p w14:paraId="5BE5FC9B" w14:textId="77777777" w:rsidR="00FA48E3" w:rsidRPr="00042184" w:rsidRDefault="00FA48E3" w:rsidP="00042184">
      <w:pPr>
        <w:pStyle w:val="ListParagraph"/>
        <w:numPr>
          <w:ilvl w:val="0"/>
          <w:numId w:val="12"/>
        </w:numPr>
        <w:jc w:val="both"/>
        <w:rPr>
          <w:rFonts w:eastAsiaTheme="minorEastAsia"/>
          <w:b/>
          <w:bCs/>
        </w:rPr>
      </w:pPr>
      <w:r w:rsidRPr="00042184">
        <w:rPr>
          <w:rFonts w:eastAsiaTheme="minorEastAsia"/>
          <w:b/>
          <w:bCs/>
        </w:rPr>
        <w:t>For RAN4#98-e</w:t>
      </w:r>
    </w:p>
    <w:p w14:paraId="2118AB50" w14:textId="77777777" w:rsidR="00FA48E3" w:rsidRPr="00AB37A7" w:rsidRDefault="00FA48E3" w:rsidP="00042184">
      <w:pPr>
        <w:ind w:left="1648" w:hanging="1004"/>
        <w:jc w:val="both"/>
        <w:rPr>
          <w:b/>
          <w:bCs/>
          <w:lang w:val="en-US"/>
        </w:rPr>
      </w:pPr>
      <w:r w:rsidRPr="00AB37A7">
        <w:rPr>
          <w:rFonts w:eastAsiaTheme="minorEastAsia"/>
          <w:b/>
          <w:bCs/>
        </w:rPr>
        <w:t>Interested companies are encouraged to provide contributions addressing the late agreement:</w:t>
      </w:r>
    </w:p>
    <w:p w14:paraId="4A70F035" w14:textId="77777777" w:rsidR="00AB37A7" w:rsidRPr="00AB37A7" w:rsidRDefault="0037446E" w:rsidP="00803FA0">
      <w:pPr>
        <w:numPr>
          <w:ilvl w:val="1"/>
          <w:numId w:val="11"/>
        </w:numPr>
        <w:tabs>
          <w:tab w:val="clear" w:pos="1440"/>
          <w:tab w:val="num" w:pos="1288"/>
        </w:tabs>
        <w:ind w:left="1288"/>
        <w:jc w:val="both"/>
        <w:rPr>
          <w:b/>
          <w:bCs/>
          <w:lang w:val="en-US"/>
        </w:rPr>
      </w:pPr>
      <w:r w:rsidRPr="00AB37A7">
        <w:rPr>
          <w:rFonts w:eastAsiaTheme="minorEastAsia"/>
          <w:b/>
          <w:bCs/>
          <w:lang w:val="en-US"/>
        </w:rPr>
        <w:t xml:space="preserve">Issue 1-2-3: Delay requirement for switching of multiple </w:t>
      </w:r>
      <w:proofErr w:type="spellStart"/>
      <w:r w:rsidRPr="00AB37A7">
        <w:rPr>
          <w:rFonts w:eastAsiaTheme="minorEastAsia"/>
          <w:b/>
          <w:bCs/>
          <w:lang w:val="en-US"/>
        </w:rPr>
        <w:t>SCells</w:t>
      </w:r>
      <w:proofErr w:type="spellEnd"/>
      <w:r w:rsidRPr="00AB37A7">
        <w:rPr>
          <w:rFonts w:eastAsiaTheme="minorEastAsia"/>
          <w:b/>
          <w:bCs/>
          <w:lang w:val="en-US"/>
        </w:rPr>
        <w:t xml:space="preserve"> between dormancy and non-dormancy</w:t>
      </w:r>
    </w:p>
    <w:p w14:paraId="69BBFA6B" w14:textId="77777777" w:rsidR="00FA48E3" w:rsidRPr="00AB37A7" w:rsidRDefault="00FA48E3" w:rsidP="00803FA0">
      <w:pPr>
        <w:ind w:left="1288"/>
        <w:jc w:val="both"/>
        <w:rPr>
          <w:b/>
          <w:bCs/>
          <w:lang w:val="en-US"/>
        </w:rPr>
      </w:pPr>
      <w:r w:rsidRPr="00AB37A7">
        <w:rPr>
          <w:rFonts w:eastAsiaTheme="minorEastAsia"/>
          <w:b/>
          <w:bCs/>
          <w:i/>
          <w:iCs/>
        </w:rPr>
        <w:t xml:space="preserve">Introduce a capability D’ for dormant BWP switching of multiple </w:t>
      </w:r>
      <w:proofErr w:type="spellStart"/>
      <w:r w:rsidRPr="00AB37A7">
        <w:rPr>
          <w:rFonts w:eastAsiaTheme="minorEastAsia"/>
          <w:b/>
          <w:bCs/>
          <w:i/>
          <w:iCs/>
        </w:rPr>
        <w:t>SCells</w:t>
      </w:r>
      <w:proofErr w:type="spellEnd"/>
      <w:r w:rsidRPr="00AB37A7">
        <w:rPr>
          <w:rFonts w:eastAsiaTheme="minorEastAsia"/>
          <w:b/>
          <w:bCs/>
          <w:i/>
          <w:iCs/>
        </w:rPr>
        <w:t xml:space="preserve"> that is separate from corresponding capability D for active</w:t>
      </w:r>
      <w:r>
        <w:rPr>
          <w:b/>
          <w:bCs/>
          <w:i/>
          <w:iCs/>
        </w:rPr>
        <w:t xml:space="preserve"> </w:t>
      </w:r>
      <w:r w:rsidRPr="00AB37A7">
        <w:rPr>
          <w:rFonts w:eastAsiaTheme="minorEastAsia"/>
          <w:b/>
          <w:bCs/>
          <w:i/>
          <w:iCs/>
        </w:rPr>
        <w:t xml:space="preserve">BWP switching. </w:t>
      </w:r>
    </w:p>
    <w:p w14:paraId="26E0AC49" w14:textId="7CA491A7" w:rsidR="00CA1A37" w:rsidRDefault="008E7986" w:rsidP="008E7986">
      <w:pPr>
        <w:pStyle w:val="Heading1"/>
      </w:pPr>
      <w:r>
        <w:t>2</w:t>
      </w:r>
      <w:r w:rsidR="00CA1A37">
        <w:t xml:space="preserve"> Rel-16 RRM enhancements</w:t>
      </w:r>
    </w:p>
    <w:p w14:paraId="5074C028" w14:textId="14B48C48" w:rsidR="00CA1A37" w:rsidRDefault="00155516" w:rsidP="00CA1A37">
      <w:r>
        <w:t xml:space="preserve">As per the approved WF [1], we propose </w:t>
      </w:r>
      <w:r w:rsidR="0037446E">
        <w:t xml:space="preserve">the </w:t>
      </w:r>
      <w:proofErr w:type="spellStart"/>
      <w:r w:rsidR="0037446E">
        <w:t>follwoing</w:t>
      </w:r>
      <w:proofErr w:type="spellEnd"/>
      <w:r>
        <w:t>:</w:t>
      </w:r>
    </w:p>
    <w:p w14:paraId="3AA440F2" w14:textId="77777777" w:rsidR="0037446E" w:rsidRDefault="0037446E" w:rsidP="0037446E">
      <w:pPr>
        <w:pStyle w:val="Proposal"/>
      </w:pPr>
      <w:bookmarkStart w:id="2" w:name="_Toc54180919"/>
      <w:bookmarkStart w:id="3" w:name="_Toc54284434"/>
      <w:bookmarkStart w:id="4" w:name="_Toc54383824"/>
      <w:bookmarkStart w:id="5" w:name="_Toc54384578"/>
      <w:bookmarkStart w:id="6" w:name="_Toc54384649"/>
      <w:r>
        <w:t>Proposal 1: Add the following UE capability for simultaneous dormant BWP switching to the feature list</w:t>
      </w:r>
      <w:bookmarkEnd w:id="2"/>
      <w:bookmarkEnd w:id="3"/>
      <w:bookmarkEnd w:id="4"/>
      <w:bookmarkEnd w:id="5"/>
      <w:bookmarkEnd w:id="6"/>
      <w:r>
        <w:t xml:space="preserve">. </w:t>
      </w:r>
    </w:p>
    <w:tbl>
      <w:tblPr>
        <w:tblW w:w="5270" w:type="pct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722"/>
        <w:gridCol w:w="1618"/>
        <w:gridCol w:w="2429"/>
        <w:gridCol w:w="1528"/>
        <w:gridCol w:w="1443"/>
        <w:gridCol w:w="1708"/>
        <w:gridCol w:w="1618"/>
        <w:gridCol w:w="632"/>
        <w:gridCol w:w="995"/>
        <w:gridCol w:w="986"/>
        <w:gridCol w:w="1802"/>
        <w:gridCol w:w="3572"/>
        <w:gridCol w:w="1739"/>
      </w:tblGrid>
      <w:tr w:rsidR="00B639AF" w:rsidRPr="00CE0B7C" w14:paraId="6B087E38" w14:textId="77777777" w:rsidTr="00B639AF">
        <w:trPr>
          <w:trHeight w:val="59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610D52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906449">
              <w:rPr>
                <w:rFonts w:cs="Arial"/>
                <w:sz w:val="12"/>
                <w:szCs w:val="14"/>
                <w:lang w:eastAsia="ja-JP"/>
              </w:rPr>
              <w:t>Features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48CE17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Index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173740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CE0B7C">
              <w:rPr>
                <w:rFonts w:cs="Arial"/>
                <w:sz w:val="12"/>
                <w:szCs w:val="14"/>
                <w:lang w:eastAsia="zh-CN"/>
              </w:rPr>
              <w:t>Feature group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AF657F" w14:textId="77777777" w:rsidR="00187332" w:rsidRPr="00CE0B7C" w:rsidRDefault="00187332" w:rsidP="00E07752">
            <w:pPr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2"/>
                <w:szCs w:val="14"/>
                <w:lang w:eastAsia="zh-CN"/>
              </w:rPr>
            </w:pPr>
            <w:r w:rsidRPr="00CE0B7C">
              <w:rPr>
                <w:rFonts w:ascii="Arial" w:hAnsi="Arial" w:cs="Arial"/>
                <w:sz w:val="12"/>
                <w:szCs w:val="14"/>
                <w:lang w:eastAsia="zh-CN"/>
              </w:rPr>
              <w:t>Components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D58B69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</w:rPr>
            </w:pPr>
            <w:r w:rsidRPr="00CE0B7C">
              <w:rPr>
                <w:rFonts w:cs="Arial"/>
                <w:sz w:val="12"/>
                <w:szCs w:val="14"/>
              </w:rPr>
              <w:t>Prerequisite feature groups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51FF8F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CE0B7C">
              <w:rPr>
                <w:rFonts w:cs="Arial"/>
                <w:sz w:val="12"/>
                <w:szCs w:val="14"/>
                <w:lang w:eastAsia="zh-CN"/>
              </w:rPr>
              <w:t xml:space="preserve">Need for the </w:t>
            </w:r>
            <w:proofErr w:type="spellStart"/>
            <w:r w:rsidRPr="00CE0B7C">
              <w:rPr>
                <w:rFonts w:cs="Arial"/>
                <w:sz w:val="12"/>
                <w:szCs w:val="14"/>
                <w:lang w:eastAsia="zh-CN"/>
              </w:rPr>
              <w:t>gNB</w:t>
            </w:r>
            <w:proofErr w:type="spellEnd"/>
            <w:r w:rsidRPr="00CE0B7C">
              <w:rPr>
                <w:rFonts w:cs="Arial"/>
                <w:sz w:val="12"/>
                <w:szCs w:val="14"/>
                <w:lang w:eastAsia="zh-CN"/>
              </w:rPr>
              <w:t xml:space="preserve"> to know if the feature is supported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C5BE35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Applicable to the capability signalling exchange between UEs (V2X WI only)”.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1EC600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Consequence if the feature is not supported by the UE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9EEA88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Type</w:t>
            </w:r>
          </w:p>
          <w:p w14:paraId="579838E6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CBB310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Need of FDD/TDD differentiation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A128AD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Need of FR1/FR2 differentiation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A27A12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CE0B7C">
              <w:rPr>
                <w:rFonts w:cs="Arial"/>
                <w:sz w:val="12"/>
                <w:szCs w:val="14"/>
                <w:lang w:eastAsia="zh-CN"/>
              </w:rPr>
              <w:t>Capability interpretation for mixture of FDD/TDD and/or FR1/FR2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31DCE2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</w:rPr>
            </w:pPr>
            <w:r w:rsidRPr="00CE0B7C">
              <w:rPr>
                <w:rFonts w:cs="Arial"/>
                <w:sz w:val="12"/>
                <w:szCs w:val="14"/>
              </w:rPr>
              <w:t>Note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F3837E" w14:textId="77777777" w:rsidR="00187332" w:rsidRPr="00CE0B7C" w:rsidRDefault="00187332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Mandatory/Optional</w:t>
            </w:r>
          </w:p>
        </w:tc>
      </w:tr>
      <w:tr w:rsidR="00B639AF" w:rsidRPr="00323ED5" w14:paraId="5DDE1912" w14:textId="77777777" w:rsidTr="00B639AF">
        <w:trPr>
          <w:trHeight w:val="20"/>
        </w:trPr>
        <w:tc>
          <w:tcPr>
            <w:tcW w:w="361" w:type="pct"/>
          </w:tcPr>
          <w:p w14:paraId="3FDF1784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3D0AC6">
              <w:rPr>
                <w:rFonts w:cs="Arial"/>
                <w:sz w:val="12"/>
                <w:szCs w:val="12"/>
                <w:lang w:eastAsia="ja-JP"/>
              </w:rPr>
              <w:t xml:space="preserve">6. </w:t>
            </w:r>
            <w:proofErr w:type="spellStart"/>
            <w:r w:rsidRPr="003D0AC6">
              <w:rPr>
                <w:rFonts w:cs="Arial"/>
                <w:sz w:val="12"/>
                <w:szCs w:val="12"/>
                <w:lang w:eastAsia="ja-JP"/>
              </w:rPr>
              <w:t>LTE_NR_DC_CA_enh</w:t>
            </w:r>
            <w:proofErr w:type="spellEnd"/>
          </w:p>
        </w:tc>
        <w:tc>
          <w:tcPr>
            <w:tcW w:w="161" w:type="pct"/>
            <w:shd w:val="clear" w:color="auto" w:fill="auto"/>
          </w:tcPr>
          <w:p w14:paraId="6C95EF74" w14:textId="23786E82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A14B42">
              <w:rPr>
                <w:rFonts w:cs="Arial"/>
                <w:sz w:val="12"/>
                <w:szCs w:val="12"/>
                <w:lang w:eastAsia="ja-JP"/>
              </w:rPr>
              <w:t>6-</w:t>
            </w:r>
            <w:r w:rsidR="00B639AF">
              <w:rPr>
                <w:rFonts w:cs="Arial"/>
                <w:sz w:val="12"/>
                <w:szCs w:val="12"/>
                <w:lang w:eastAsia="ja-JP"/>
              </w:rPr>
              <w:t>[</w:t>
            </w:r>
            <w:r w:rsidRPr="00A14B42">
              <w:rPr>
                <w:rFonts w:cs="Arial"/>
                <w:sz w:val="12"/>
                <w:szCs w:val="12"/>
                <w:lang w:eastAsia="ja-JP"/>
              </w:rPr>
              <w:t>X</w:t>
            </w:r>
            <w:r w:rsidR="00B639AF">
              <w:rPr>
                <w:rFonts w:cs="Arial"/>
                <w:sz w:val="12"/>
                <w:szCs w:val="12"/>
                <w:lang w:eastAsia="ja-JP"/>
              </w:rPr>
              <w:t>]</w:t>
            </w:r>
          </w:p>
        </w:tc>
        <w:tc>
          <w:tcPr>
            <w:tcW w:w="361" w:type="pct"/>
            <w:shd w:val="clear" w:color="auto" w:fill="auto"/>
          </w:tcPr>
          <w:p w14:paraId="4F102070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A14B42">
              <w:rPr>
                <w:rFonts w:cs="Arial"/>
                <w:sz w:val="12"/>
                <w:szCs w:val="12"/>
                <w:lang w:eastAsia="zh-CN"/>
              </w:rPr>
              <w:t>Dormant BWP switching on multiple CCs RRM requirements</w:t>
            </w:r>
          </w:p>
        </w:tc>
        <w:tc>
          <w:tcPr>
            <w:tcW w:w="542" w:type="pct"/>
            <w:shd w:val="clear" w:color="auto" w:fill="auto"/>
          </w:tcPr>
          <w:p w14:paraId="38B946B9" w14:textId="77777777" w:rsidR="00187332" w:rsidRPr="00A14B42" w:rsidRDefault="00187332" w:rsidP="00E07752">
            <w:pPr>
              <w:snapToGrid w:val="0"/>
              <w:spacing w:afterLines="50" w:after="12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14B42">
              <w:rPr>
                <w:rFonts w:ascii="Arial" w:hAnsi="Arial" w:cs="Arial"/>
                <w:sz w:val="12"/>
                <w:szCs w:val="12"/>
              </w:rPr>
              <w:t xml:space="preserve">Incremental delay for BWP switch processing on additional </w:t>
            </w:r>
            <w:proofErr w:type="spellStart"/>
            <w:r w:rsidRPr="00A14B42">
              <w:rPr>
                <w:rFonts w:ascii="Arial" w:hAnsi="Arial" w:cs="Arial"/>
                <w:sz w:val="12"/>
                <w:szCs w:val="12"/>
              </w:rPr>
              <w:t>SCells</w:t>
            </w:r>
            <w:proofErr w:type="spellEnd"/>
            <w:r w:rsidRPr="00A14B42">
              <w:rPr>
                <w:rFonts w:ascii="Arial" w:hAnsi="Arial" w:cs="Arial"/>
                <w:sz w:val="12"/>
                <w:szCs w:val="12"/>
              </w:rPr>
              <w:t xml:space="preserve"> in timer/DCI based simultaneous dormant BWP switching on multiple </w:t>
            </w:r>
            <w:proofErr w:type="spellStart"/>
            <w:r w:rsidRPr="00A14B42">
              <w:rPr>
                <w:rFonts w:ascii="Arial" w:hAnsi="Arial" w:cs="Arial"/>
                <w:sz w:val="12"/>
                <w:szCs w:val="12"/>
              </w:rPr>
              <w:t>SCells</w:t>
            </w:r>
            <w:proofErr w:type="spellEnd"/>
          </w:p>
          <w:p w14:paraId="36DAFF79" w14:textId="77777777" w:rsidR="00187332" w:rsidRPr="00A14B42" w:rsidRDefault="00187332" w:rsidP="00E07752">
            <w:pPr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2"/>
                <w:szCs w:val="12"/>
                <w:lang w:val="en-US" w:eastAsia="zh-CN"/>
              </w:rPr>
            </w:pPr>
          </w:p>
        </w:tc>
        <w:tc>
          <w:tcPr>
            <w:tcW w:w="341" w:type="pct"/>
            <w:shd w:val="clear" w:color="auto" w:fill="auto"/>
          </w:tcPr>
          <w:p w14:paraId="0A879DC0" w14:textId="77777777" w:rsidR="00187332" w:rsidRPr="00F2129E" w:rsidRDefault="00187332" w:rsidP="00E07752">
            <w:pPr>
              <w:pStyle w:val="TAL"/>
              <w:rPr>
                <w:rFonts w:cs="Arial"/>
                <w:i/>
                <w:iCs/>
                <w:sz w:val="12"/>
                <w:szCs w:val="12"/>
              </w:rPr>
            </w:pPr>
            <w:r w:rsidRPr="00F2129E">
              <w:rPr>
                <w:rFonts w:cs="Arial"/>
                <w:sz w:val="12"/>
                <w:szCs w:val="12"/>
              </w:rPr>
              <w:t xml:space="preserve">RAN1 feature </w:t>
            </w:r>
            <w:r w:rsidRPr="006F312E">
              <w:rPr>
                <w:rFonts w:cs="Arial"/>
                <w:sz w:val="12"/>
                <w:szCs w:val="12"/>
              </w:rPr>
              <w:t>18-4</w:t>
            </w:r>
            <w:r>
              <w:rPr>
                <w:rFonts w:cs="Arial"/>
                <w:sz w:val="12"/>
                <w:szCs w:val="12"/>
              </w:rPr>
              <w:t xml:space="preserve"> and </w:t>
            </w:r>
            <w:r w:rsidRPr="006F312E">
              <w:rPr>
                <w:rFonts w:cs="Arial"/>
                <w:sz w:val="12"/>
                <w:szCs w:val="12"/>
              </w:rPr>
              <w:t>18-4</w:t>
            </w:r>
            <w:r>
              <w:rPr>
                <w:rFonts w:cs="Arial"/>
                <w:sz w:val="12"/>
                <w:szCs w:val="12"/>
              </w:rPr>
              <w:t>a</w:t>
            </w:r>
          </w:p>
        </w:tc>
        <w:tc>
          <w:tcPr>
            <w:tcW w:w="322" w:type="pct"/>
            <w:shd w:val="clear" w:color="auto" w:fill="auto"/>
          </w:tcPr>
          <w:p w14:paraId="0FBB8B98" w14:textId="77777777" w:rsidR="00187332" w:rsidRPr="00F2129E" w:rsidRDefault="00187332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F2129E">
              <w:rPr>
                <w:rFonts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381" w:type="pct"/>
            <w:shd w:val="clear" w:color="auto" w:fill="auto"/>
          </w:tcPr>
          <w:p w14:paraId="28E70C94" w14:textId="77777777" w:rsidR="00187332" w:rsidRPr="00F2129E" w:rsidRDefault="00187332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F2129E">
              <w:rPr>
                <w:rFonts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61" w:type="pct"/>
          </w:tcPr>
          <w:p w14:paraId="42DA52BF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A14B42">
              <w:rPr>
                <w:rFonts w:cs="Arial"/>
                <w:sz w:val="12"/>
                <w:szCs w:val="12"/>
                <w:lang w:val="en-US" w:eastAsia="zh-CN"/>
              </w:rPr>
              <w:t xml:space="preserve">There may be additional unclear BWP switching delay if network trigger dormant BWP switching on multiple </w:t>
            </w:r>
            <w:proofErr w:type="spellStart"/>
            <w:r w:rsidRPr="00A14B42">
              <w:rPr>
                <w:rFonts w:cs="Arial"/>
                <w:sz w:val="12"/>
                <w:szCs w:val="12"/>
                <w:lang w:val="en-US" w:eastAsia="zh-CN"/>
              </w:rPr>
              <w:t>SCells</w:t>
            </w:r>
            <w:proofErr w:type="spellEnd"/>
            <w:r w:rsidRPr="00A14B42">
              <w:rPr>
                <w:rFonts w:cs="Arial"/>
                <w:sz w:val="12"/>
                <w:szCs w:val="12"/>
                <w:lang w:val="en-US" w:eastAsia="zh-CN"/>
              </w:rPr>
              <w:t xml:space="preserve"> simultaneously.</w:t>
            </w:r>
          </w:p>
        </w:tc>
        <w:tc>
          <w:tcPr>
            <w:tcW w:w="141" w:type="pct"/>
            <w:shd w:val="clear" w:color="auto" w:fill="auto"/>
          </w:tcPr>
          <w:p w14:paraId="4CA54014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22" w:type="pct"/>
            <w:shd w:val="clear" w:color="auto" w:fill="auto"/>
          </w:tcPr>
          <w:p w14:paraId="7A981F2C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  <w:lang w:eastAsia="ja-JP"/>
              </w:rPr>
              <w:t>No</w:t>
            </w:r>
          </w:p>
        </w:tc>
        <w:tc>
          <w:tcPr>
            <w:tcW w:w="220" w:type="pct"/>
            <w:shd w:val="clear" w:color="auto" w:fill="auto"/>
          </w:tcPr>
          <w:p w14:paraId="38F0C801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  <w:lang w:eastAsia="ja-JP"/>
              </w:rPr>
              <w:t>No</w:t>
            </w:r>
          </w:p>
        </w:tc>
        <w:tc>
          <w:tcPr>
            <w:tcW w:w="402" w:type="pct"/>
          </w:tcPr>
          <w:p w14:paraId="0835B34C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N/A</w:t>
            </w:r>
          </w:p>
        </w:tc>
        <w:tc>
          <w:tcPr>
            <w:tcW w:w="797" w:type="pct"/>
            <w:shd w:val="clear" w:color="auto" w:fill="auto"/>
          </w:tcPr>
          <w:p w14:paraId="0F2C116D" w14:textId="77777777" w:rsidR="00187332" w:rsidRPr="00A14B42" w:rsidRDefault="00187332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For component 2), the candidate values are:</w:t>
            </w:r>
          </w:p>
          <w:p w14:paraId="28A53986" w14:textId="6DAE8A8D" w:rsidR="00187332" w:rsidRPr="00A14B42" w:rsidRDefault="00187332" w:rsidP="0018733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 xml:space="preserve">● </w:t>
            </w:r>
            <w:r w:rsidRPr="00A14B42">
              <w:rPr>
                <w:rFonts w:cs="Arial"/>
                <w:sz w:val="12"/>
                <w:szCs w:val="12"/>
              </w:rPr>
              <w:t xml:space="preserve">{100us, 200us} for UE indicates type1 in </w:t>
            </w:r>
            <w:proofErr w:type="spellStart"/>
            <w:r w:rsidRPr="00A14B42">
              <w:rPr>
                <w:rFonts w:cs="Arial"/>
                <w:sz w:val="12"/>
                <w:szCs w:val="12"/>
              </w:rPr>
              <w:t>bwp-SwitchingDelay</w:t>
            </w:r>
            <w:proofErr w:type="spellEnd"/>
          </w:p>
          <w:p w14:paraId="659C82A0" w14:textId="77777777" w:rsidR="00187332" w:rsidRPr="00A14B42" w:rsidRDefault="00187332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</w:p>
          <w:p w14:paraId="404C0FC3" w14:textId="27E5B75F" w:rsidR="00187332" w:rsidRPr="00A14B42" w:rsidRDefault="00187332" w:rsidP="0018733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 xml:space="preserve">● </w:t>
            </w:r>
            <w:r w:rsidRPr="00A14B42">
              <w:rPr>
                <w:rFonts w:cs="Arial"/>
                <w:sz w:val="12"/>
                <w:szCs w:val="12"/>
              </w:rPr>
              <w:t xml:space="preserve">{200us, 400us, 800us, 1000us} for UE indicates type 2 in </w:t>
            </w:r>
            <w:proofErr w:type="spellStart"/>
            <w:r w:rsidRPr="00A14B42">
              <w:rPr>
                <w:rFonts w:cs="Arial"/>
                <w:sz w:val="12"/>
                <w:szCs w:val="12"/>
              </w:rPr>
              <w:t>bwp-SwitchingDelay</w:t>
            </w:r>
            <w:proofErr w:type="spellEnd"/>
          </w:p>
          <w:p w14:paraId="41058B4C" w14:textId="77777777" w:rsidR="00187332" w:rsidRPr="00A14B42" w:rsidRDefault="00187332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</w:p>
          <w:p w14:paraId="0CBDCC30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The total BWP switching delay will be captured in TS38.133</w:t>
            </w:r>
          </w:p>
          <w:p w14:paraId="684EFE4A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</w:rPr>
            </w:pPr>
          </w:p>
          <w:p w14:paraId="397E4735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UE needs to indicate either of the candidate values in case it supports dormant BWP</w:t>
            </w:r>
          </w:p>
        </w:tc>
        <w:tc>
          <w:tcPr>
            <w:tcW w:w="388" w:type="pct"/>
            <w:shd w:val="clear" w:color="auto" w:fill="auto"/>
          </w:tcPr>
          <w:p w14:paraId="3C7E8C6D" w14:textId="77777777" w:rsidR="00187332" w:rsidRPr="00A14B42" w:rsidRDefault="00187332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</w:rPr>
              <w:t>Optional with capability signalling</w:t>
            </w:r>
          </w:p>
        </w:tc>
      </w:tr>
    </w:tbl>
    <w:p w14:paraId="6434745D" w14:textId="77777777" w:rsidR="00187332" w:rsidRDefault="00187332" w:rsidP="00CA1A37"/>
    <w:p w14:paraId="4DAF8F1B" w14:textId="77777777" w:rsidR="00E61F48" w:rsidRPr="00BE414D" w:rsidRDefault="00E61F48" w:rsidP="00E61F48"/>
    <w:p w14:paraId="34C99636" w14:textId="0D5E0C54" w:rsidR="008E7986" w:rsidRDefault="008D3B0B" w:rsidP="008E7986">
      <w:pPr>
        <w:pStyle w:val="Heading1"/>
      </w:pPr>
      <w:r>
        <w:t>3</w:t>
      </w:r>
      <w:r w:rsidR="008E7986">
        <w:tab/>
        <w:t>Conclusions</w:t>
      </w:r>
    </w:p>
    <w:p w14:paraId="5D9EB0FF" w14:textId="77777777" w:rsidR="0037446E" w:rsidRDefault="0037446E" w:rsidP="0037446E">
      <w:pPr>
        <w:pStyle w:val="Proposal"/>
      </w:pPr>
      <w:r>
        <w:t xml:space="preserve">Proposal 1: Add the following UE capability for simultaneous dormant BWP switching to the feature list. </w:t>
      </w:r>
    </w:p>
    <w:tbl>
      <w:tblPr>
        <w:tblW w:w="5270" w:type="pct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722"/>
        <w:gridCol w:w="1618"/>
        <w:gridCol w:w="2429"/>
        <w:gridCol w:w="1528"/>
        <w:gridCol w:w="1443"/>
        <w:gridCol w:w="1708"/>
        <w:gridCol w:w="1618"/>
        <w:gridCol w:w="632"/>
        <w:gridCol w:w="995"/>
        <w:gridCol w:w="986"/>
        <w:gridCol w:w="1802"/>
        <w:gridCol w:w="3572"/>
        <w:gridCol w:w="1739"/>
      </w:tblGrid>
      <w:tr w:rsidR="0037446E" w:rsidRPr="00CE0B7C" w14:paraId="02B279A1" w14:textId="77777777" w:rsidTr="00E07752">
        <w:trPr>
          <w:trHeight w:val="59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F90BF1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906449">
              <w:rPr>
                <w:rFonts w:cs="Arial"/>
                <w:sz w:val="12"/>
                <w:szCs w:val="14"/>
                <w:lang w:eastAsia="ja-JP"/>
              </w:rPr>
              <w:lastRenderedPageBreak/>
              <w:t>Features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4BE635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Index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CB47EF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CE0B7C">
              <w:rPr>
                <w:rFonts w:cs="Arial"/>
                <w:sz w:val="12"/>
                <w:szCs w:val="14"/>
                <w:lang w:eastAsia="zh-CN"/>
              </w:rPr>
              <w:t>Feature group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937D01" w14:textId="77777777" w:rsidR="0037446E" w:rsidRPr="00CE0B7C" w:rsidRDefault="0037446E" w:rsidP="00E07752">
            <w:pPr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2"/>
                <w:szCs w:val="14"/>
                <w:lang w:eastAsia="zh-CN"/>
              </w:rPr>
            </w:pPr>
            <w:r w:rsidRPr="00CE0B7C">
              <w:rPr>
                <w:rFonts w:ascii="Arial" w:hAnsi="Arial" w:cs="Arial"/>
                <w:sz w:val="12"/>
                <w:szCs w:val="14"/>
                <w:lang w:eastAsia="zh-CN"/>
              </w:rPr>
              <w:t>Components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2F7FC1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</w:rPr>
            </w:pPr>
            <w:r w:rsidRPr="00CE0B7C">
              <w:rPr>
                <w:rFonts w:cs="Arial"/>
                <w:sz w:val="12"/>
                <w:szCs w:val="14"/>
              </w:rPr>
              <w:t>Prerequisite feature groups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44FAA4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CE0B7C">
              <w:rPr>
                <w:rFonts w:cs="Arial"/>
                <w:sz w:val="12"/>
                <w:szCs w:val="14"/>
                <w:lang w:eastAsia="zh-CN"/>
              </w:rPr>
              <w:t xml:space="preserve">Need for the </w:t>
            </w:r>
            <w:proofErr w:type="spellStart"/>
            <w:r w:rsidRPr="00CE0B7C">
              <w:rPr>
                <w:rFonts w:cs="Arial"/>
                <w:sz w:val="12"/>
                <w:szCs w:val="14"/>
                <w:lang w:eastAsia="zh-CN"/>
              </w:rPr>
              <w:t>gNB</w:t>
            </w:r>
            <w:proofErr w:type="spellEnd"/>
            <w:r w:rsidRPr="00CE0B7C">
              <w:rPr>
                <w:rFonts w:cs="Arial"/>
                <w:sz w:val="12"/>
                <w:szCs w:val="14"/>
                <w:lang w:eastAsia="zh-CN"/>
              </w:rPr>
              <w:t xml:space="preserve"> to know if the feature is supported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500BCA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Applicable to the capability signalling exchange between UEs (V2X WI only)”.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E136A6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Consequence if the feature is not supported by the UE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FA63AF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Type</w:t>
            </w:r>
          </w:p>
          <w:p w14:paraId="79CF0145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70A5F6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Need of FDD/TDD differentiation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9B8571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Need of FR1/FR2 differentiation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5B06EE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CE0B7C">
              <w:rPr>
                <w:rFonts w:cs="Arial"/>
                <w:sz w:val="12"/>
                <w:szCs w:val="14"/>
                <w:lang w:eastAsia="zh-CN"/>
              </w:rPr>
              <w:t>Capability interpretation for mixture of FDD/TDD and/or FR1/FR2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5D239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</w:rPr>
            </w:pPr>
            <w:r w:rsidRPr="00CE0B7C">
              <w:rPr>
                <w:rFonts w:cs="Arial"/>
                <w:sz w:val="12"/>
                <w:szCs w:val="14"/>
              </w:rPr>
              <w:t>Note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FE8EA1" w14:textId="77777777" w:rsidR="0037446E" w:rsidRPr="00CE0B7C" w:rsidRDefault="0037446E" w:rsidP="00E07752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CE0B7C">
              <w:rPr>
                <w:rFonts w:cs="Arial"/>
                <w:sz w:val="12"/>
                <w:szCs w:val="14"/>
                <w:lang w:eastAsia="ja-JP"/>
              </w:rPr>
              <w:t>Mandatory/Optional</w:t>
            </w:r>
          </w:p>
        </w:tc>
      </w:tr>
      <w:tr w:rsidR="0037446E" w:rsidRPr="00323ED5" w14:paraId="774B79CE" w14:textId="77777777" w:rsidTr="00E07752">
        <w:trPr>
          <w:trHeight w:val="20"/>
        </w:trPr>
        <w:tc>
          <w:tcPr>
            <w:tcW w:w="361" w:type="pct"/>
          </w:tcPr>
          <w:p w14:paraId="13F0BF60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3D0AC6">
              <w:rPr>
                <w:rFonts w:cs="Arial"/>
                <w:sz w:val="12"/>
                <w:szCs w:val="12"/>
                <w:lang w:eastAsia="ja-JP"/>
              </w:rPr>
              <w:t xml:space="preserve">6. </w:t>
            </w:r>
            <w:proofErr w:type="spellStart"/>
            <w:r w:rsidRPr="003D0AC6">
              <w:rPr>
                <w:rFonts w:cs="Arial"/>
                <w:sz w:val="12"/>
                <w:szCs w:val="12"/>
                <w:lang w:eastAsia="ja-JP"/>
              </w:rPr>
              <w:t>LTE_NR_DC_CA_enh</w:t>
            </w:r>
            <w:proofErr w:type="spellEnd"/>
          </w:p>
        </w:tc>
        <w:tc>
          <w:tcPr>
            <w:tcW w:w="161" w:type="pct"/>
            <w:shd w:val="clear" w:color="auto" w:fill="auto"/>
          </w:tcPr>
          <w:p w14:paraId="15EA8DF6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A14B42">
              <w:rPr>
                <w:rFonts w:cs="Arial"/>
                <w:sz w:val="12"/>
                <w:szCs w:val="12"/>
                <w:lang w:eastAsia="ja-JP"/>
              </w:rPr>
              <w:t>6-</w:t>
            </w:r>
            <w:r>
              <w:rPr>
                <w:rFonts w:cs="Arial"/>
                <w:sz w:val="12"/>
                <w:szCs w:val="12"/>
                <w:lang w:eastAsia="ja-JP"/>
              </w:rPr>
              <w:t>[</w:t>
            </w:r>
            <w:r w:rsidRPr="00A14B42">
              <w:rPr>
                <w:rFonts w:cs="Arial"/>
                <w:sz w:val="12"/>
                <w:szCs w:val="12"/>
                <w:lang w:eastAsia="ja-JP"/>
              </w:rPr>
              <w:t>X</w:t>
            </w:r>
            <w:r>
              <w:rPr>
                <w:rFonts w:cs="Arial"/>
                <w:sz w:val="12"/>
                <w:szCs w:val="12"/>
                <w:lang w:eastAsia="ja-JP"/>
              </w:rPr>
              <w:t>]</w:t>
            </w:r>
          </w:p>
        </w:tc>
        <w:tc>
          <w:tcPr>
            <w:tcW w:w="361" w:type="pct"/>
            <w:shd w:val="clear" w:color="auto" w:fill="auto"/>
          </w:tcPr>
          <w:p w14:paraId="6254D6CE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A14B42">
              <w:rPr>
                <w:rFonts w:cs="Arial"/>
                <w:sz w:val="12"/>
                <w:szCs w:val="12"/>
                <w:lang w:eastAsia="zh-CN"/>
              </w:rPr>
              <w:t>Dormant BWP switching on multiple CCs RRM requirements</w:t>
            </w:r>
          </w:p>
        </w:tc>
        <w:tc>
          <w:tcPr>
            <w:tcW w:w="542" w:type="pct"/>
            <w:shd w:val="clear" w:color="auto" w:fill="auto"/>
          </w:tcPr>
          <w:p w14:paraId="6BC17EC4" w14:textId="77777777" w:rsidR="0037446E" w:rsidRPr="00A14B42" w:rsidRDefault="0037446E" w:rsidP="00E07752">
            <w:pPr>
              <w:snapToGrid w:val="0"/>
              <w:spacing w:afterLines="50" w:after="12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14B42">
              <w:rPr>
                <w:rFonts w:ascii="Arial" w:hAnsi="Arial" w:cs="Arial"/>
                <w:sz w:val="12"/>
                <w:szCs w:val="12"/>
              </w:rPr>
              <w:t xml:space="preserve">Incremental delay for BWP switch processing on additional </w:t>
            </w:r>
            <w:proofErr w:type="spellStart"/>
            <w:r w:rsidRPr="00A14B42">
              <w:rPr>
                <w:rFonts w:ascii="Arial" w:hAnsi="Arial" w:cs="Arial"/>
                <w:sz w:val="12"/>
                <w:szCs w:val="12"/>
              </w:rPr>
              <w:t>SCells</w:t>
            </w:r>
            <w:proofErr w:type="spellEnd"/>
            <w:r w:rsidRPr="00A14B42">
              <w:rPr>
                <w:rFonts w:ascii="Arial" w:hAnsi="Arial" w:cs="Arial"/>
                <w:sz w:val="12"/>
                <w:szCs w:val="12"/>
              </w:rPr>
              <w:t xml:space="preserve"> in timer/DCI based simultaneous dormant BWP switching on multiple </w:t>
            </w:r>
            <w:proofErr w:type="spellStart"/>
            <w:r w:rsidRPr="00A14B42">
              <w:rPr>
                <w:rFonts w:ascii="Arial" w:hAnsi="Arial" w:cs="Arial"/>
                <w:sz w:val="12"/>
                <w:szCs w:val="12"/>
              </w:rPr>
              <w:t>SCells</w:t>
            </w:r>
            <w:proofErr w:type="spellEnd"/>
          </w:p>
          <w:p w14:paraId="79290E8D" w14:textId="77777777" w:rsidR="0037446E" w:rsidRPr="00A14B42" w:rsidRDefault="0037446E" w:rsidP="00E07752">
            <w:pPr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2"/>
                <w:szCs w:val="12"/>
                <w:lang w:val="en-US" w:eastAsia="zh-CN"/>
              </w:rPr>
            </w:pPr>
          </w:p>
        </w:tc>
        <w:tc>
          <w:tcPr>
            <w:tcW w:w="341" w:type="pct"/>
            <w:shd w:val="clear" w:color="auto" w:fill="auto"/>
          </w:tcPr>
          <w:p w14:paraId="3720200C" w14:textId="77777777" w:rsidR="0037446E" w:rsidRPr="00F2129E" w:rsidRDefault="0037446E" w:rsidP="00E07752">
            <w:pPr>
              <w:pStyle w:val="TAL"/>
              <w:rPr>
                <w:rFonts w:cs="Arial"/>
                <w:i/>
                <w:iCs/>
                <w:sz w:val="12"/>
                <w:szCs w:val="12"/>
              </w:rPr>
            </w:pPr>
            <w:r w:rsidRPr="00F2129E">
              <w:rPr>
                <w:rFonts w:cs="Arial"/>
                <w:sz w:val="12"/>
                <w:szCs w:val="12"/>
              </w:rPr>
              <w:t xml:space="preserve">RAN1 feature </w:t>
            </w:r>
            <w:r w:rsidRPr="006F312E">
              <w:rPr>
                <w:rFonts w:cs="Arial"/>
                <w:sz w:val="12"/>
                <w:szCs w:val="12"/>
              </w:rPr>
              <w:t>18-4</w:t>
            </w:r>
            <w:r>
              <w:rPr>
                <w:rFonts w:cs="Arial"/>
                <w:sz w:val="12"/>
                <w:szCs w:val="12"/>
              </w:rPr>
              <w:t xml:space="preserve"> and </w:t>
            </w:r>
            <w:r w:rsidRPr="006F312E">
              <w:rPr>
                <w:rFonts w:cs="Arial"/>
                <w:sz w:val="12"/>
                <w:szCs w:val="12"/>
              </w:rPr>
              <w:t>18-4</w:t>
            </w:r>
            <w:r>
              <w:rPr>
                <w:rFonts w:cs="Arial"/>
                <w:sz w:val="12"/>
                <w:szCs w:val="12"/>
              </w:rPr>
              <w:t>a</w:t>
            </w:r>
          </w:p>
        </w:tc>
        <w:tc>
          <w:tcPr>
            <w:tcW w:w="322" w:type="pct"/>
            <w:shd w:val="clear" w:color="auto" w:fill="auto"/>
          </w:tcPr>
          <w:p w14:paraId="667A4AB1" w14:textId="77777777" w:rsidR="0037446E" w:rsidRPr="00F2129E" w:rsidRDefault="0037446E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F2129E">
              <w:rPr>
                <w:rFonts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381" w:type="pct"/>
            <w:shd w:val="clear" w:color="auto" w:fill="auto"/>
          </w:tcPr>
          <w:p w14:paraId="7C905C70" w14:textId="77777777" w:rsidR="0037446E" w:rsidRPr="00F2129E" w:rsidRDefault="0037446E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F2129E">
              <w:rPr>
                <w:rFonts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61" w:type="pct"/>
          </w:tcPr>
          <w:p w14:paraId="4937235B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zh-CN"/>
              </w:rPr>
            </w:pPr>
            <w:r w:rsidRPr="00A14B42">
              <w:rPr>
                <w:rFonts w:cs="Arial"/>
                <w:sz w:val="12"/>
                <w:szCs w:val="12"/>
                <w:lang w:val="en-US" w:eastAsia="zh-CN"/>
              </w:rPr>
              <w:t xml:space="preserve">There may be additional unclear BWP switching delay if network trigger dormant BWP switching on multiple </w:t>
            </w:r>
            <w:proofErr w:type="spellStart"/>
            <w:r w:rsidRPr="00A14B42">
              <w:rPr>
                <w:rFonts w:cs="Arial"/>
                <w:sz w:val="12"/>
                <w:szCs w:val="12"/>
                <w:lang w:val="en-US" w:eastAsia="zh-CN"/>
              </w:rPr>
              <w:t>SCells</w:t>
            </w:r>
            <w:proofErr w:type="spellEnd"/>
            <w:r w:rsidRPr="00A14B42">
              <w:rPr>
                <w:rFonts w:cs="Arial"/>
                <w:sz w:val="12"/>
                <w:szCs w:val="12"/>
                <w:lang w:val="en-US" w:eastAsia="zh-CN"/>
              </w:rPr>
              <w:t xml:space="preserve"> simultaneously.</w:t>
            </w:r>
          </w:p>
        </w:tc>
        <w:tc>
          <w:tcPr>
            <w:tcW w:w="141" w:type="pct"/>
            <w:shd w:val="clear" w:color="auto" w:fill="auto"/>
          </w:tcPr>
          <w:p w14:paraId="63543ED6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22" w:type="pct"/>
            <w:shd w:val="clear" w:color="auto" w:fill="auto"/>
          </w:tcPr>
          <w:p w14:paraId="31FB7D59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  <w:lang w:eastAsia="ja-JP"/>
              </w:rPr>
              <w:t>No</w:t>
            </w:r>
          </w:p>
        </w:tc>
        <w:tc>
          <w:tcPr>
            <w:tcW w:w="220" w:type="pct"/>
            <w:shd w:val="clear" w:color="auto" w:fill="auto"/>
          </w:tcPr>
          <w:p w14:paraId="18047E80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  <w:lang w:eastAsia="ja-JP"/>
              </w:rPr>
              <w:t>No</w:t>
            </w:r>
          </w:p>
        </w:tc>
        <w:tc>
          <w:tcPr>
            <w:tcW w:w="402" w:type="pct"/>
          </w:tcPr>
          <w:p w14:paraId="7F75ACB1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N/A</w:t>
            </w:r>
          </w:p>
        </w:tc>
        <w:tc>
          <w:tcPr>
            <w:tcW w:w="797" w:type="pct"/>
            <w:shd w:val="clear" w:color="auto" w:fill="auto"/>
          </w:tcPr>
          <w:p w14:paraId="606F0B58" w14:textId="77777777" w:rsidR="0037446E" w:rsidRPr="00A14B42" w:rsidRDefault="0037446E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For component 2), the candidate values are:</w:t>
            </w:r>
          </w:p>
          <w:p w14:paraId="1F13115A" w14:textId="77777777" w:rsidR="0037446E" w:rsidRPr="00A14B42" w:rsidRDefault="0037446E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 xml:space="preserve">● </w:t>
            </w:r>
            <w:r w:rsidRPr="00A14B42">
              <w:rPr>
                <w:rFonts w:cs="Arial"/>
                <w:sz w:val="12"/>
                <w:szCs w:val="12"/>
              </w:rPr>
              <w:t xml:space="preserve">{100us, 200us} for UE indicates type1 in </w:t>
            </w:r>
            <w:proofErr w:type="spellStart"/>
            <w:r w:rsidRPr="00A14B42">
              <w:rPr>
                <w:rFonts w:cs="Arial"/>
                <w:sz w:val="12"/>
                <w:szCs w:val="12"/>
              </w:rPr>
              <w:t>bwp-SwitchingDelay</w:t>
            </w:r>
            <w:proofErr w:type="spellEnd"/>
          </w:p>
          <w:p w14:paraId="398D7021" w14:textId="77777777" w:rsidR="0037446E" w:rsidRPr="00A14B42" w:rsidRDefault="0037446E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</w:p>
          <w:p w14:paraId="021371F1" w14:textId="77777777" w:rsidR="0037446E" w:rsidRPr="00A14B42" w:rsidRDefault="0037446E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 xml:space="preserve">● </w:t>
            </w:r>
            <w:r w:rsidRPr="00A14B42">
              <w:rPr>
                <w:rFonts w:cs="Arial"/>
                <w:sz w:val="12"/>
                <w:szCs w:val="12"/>
              </w:rPr>
              <w:t xml:space="preserve">{200us, 400us, 800us, 1000us} for UE indicates type 2 in </w:t>
            </w:r>
            <w:proofErr w:type="spellStart"/>
            <w:r w:rsidRPr="00A14B42">
              <w:rPr>
                <w:rFonts w:cs="Arial"/>
                <w:sz w:val="12"/>
                <w:szCs w:val="12"/>
              </w:rPr>
              <w:t>bwp-SwitchingDelay</w:t>
            </w:r>
            <w:proofErr w:type="spellEnd"/>
          </w:p>
          <w:p w14:paraId="3F06D6C2" w14:textId="77777777" w:rsidR="0037446E" w:rsidRPr="00A14B42" w:rsidRDefault="0037446E" w:rsidP="00E07752">
            <w:pPr>
              <w:pStyle w:val="TAL"/>
              <w:keepNext w:val="0"/>
              <w:keepLines w:val="0"/>
              <w:rPr>
                <w:rFonts w:cs="Arial"/>
                <w:sz w:val="12"/>
                <w:szCs w:val="12"/>
              </w:rPr>
            </w:pPr>
          </w:p>
          <w:p w14:paraId="0469B0C4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The total BWP switching delay will be captured in TS38.133</w:t>
            </w:r>
          </w:p>
          <w:p w14:paraId="65AF02FA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</w:rPr>
            </w:pPr>
          </w:p>
          <w:p w14:paraId="06121E5F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</w:rPr>
            </w:pPr>
            <w:r w:rsidRPr="00A14B42">
              <w:rPr>
                <w:rFonts w:cs="Arial"/>
                <w:sz w:val="12"/>
                <w:szCs w:val="12"/>
              </w:rPr>
              <w:t>UE needs to indicate either of the candidate values in case it supports dormant BWP</w:t>
            </w:r>
          </w:p>
        </w:tc>
        <w:tc>
          <w:tcPr>
            <w:tcW w:w="388" w:type="pct"/>
            <w:shd w:val="clear" w:color="auto" w:fill="auto"/>
          </w:tcPr>
          <w:p w14:paraId="0023C50F" w14:textId="77777777" w:rsidR="0037446E" w:rsidRPr="00A14B42" w:rsidRDefault="0037446E" w:rsidP="00E07752">
            <w:pPr>
              <w:pStyle w:val="TAL"/>
              <w:rPr>
                <w:rFonts w:cs="Arial"/>
                <w:sz w:val="12"/>
                <w:szCs w:val="12"/>
                <w:lang w:eastAsia="ja-JP"/>
              </w:rPr>
            </w:pPr>
            <w:r w:rsidRPr="00A14B42">
              <w:rPr>
                <w:rFonts w:cs="Arial"/>
                <w:sz w:val="12"/>
                <w:szCs w:val="12"/>
              </w:rPr>
              <w:t>Optional with capability signalling</w:t>
            </w:r>
          </w:p>
        </w:tc>
      </w:tr>
    </w:tbl>
    <w:p w14:paraId="4D133CD8" w14:textId="09FDFF7E" w:rsidR="00276EE4" w:rsidRPr="003A0483" w:rsidRDefault="005E69AE" w:rsidP="0034070F">
      <w:pPr>
        <w:pStyle w:val="Heading1"/>
      </w:pPr>
      <w:r>
        <w:t>4</w:t>
      </w:r>
      <w:r>
        <w:tab/>
        <w:t>References</w:t>
      </w:r>
    </w:p>
    <w:p w14:paraId="62B10718" w14:textId="77777777" w:rsidR="008F5CEB" w:rsidRDefault="008F5CEB" w:rsidP="008F5CEB">
      <w:pPr>
        <w:pStyle w:val="EX"/>
      </w:pPr>
      <w:bookmarkStart w:id="7" w:name="_Ref54279559"/>
      <w:bookmarkStart w:id="8" w:name="_Ref13820109"/>
      <w:bookmarkStart w:id="9" w:name="_Ref37077689"/>
      <w:bookmarkStart w:id="10" w:name="_Ref40269250"/>
      <w:r w:rsidRPr="00F32B0A">
        <w:t xml:space="preserve">R4-2017123, </w:t>
      </w:r>
      <w:r w:rsidRPr="00F32B0A">
        <w:rPr>
          <w:i/>
          <w:iCs/>
        </w:rPr>
        <w:t>Way Forward on RRM Core requirements maintenance in MR-DC RRM 2</w:t>
      </w:r>
      <w:r w:rsidRPr="00F32B0A">
        <w:t>, Ericsson</w:t>
      </w:r>
      <w:r>
        <w:t>, 3GPP RAN4#97e, Nov. 2020</w:t>
      </w:r>
    </w:p>
    <w:bookmarkEnd w:id="7"/>
    <w:bookmarkEnd w:id="0"/>
    <w:bookmarkEnd w:id="8"/>
    <w:bookmarkEnd w:id="9"/>
    <w:bookmarkEnd w:id="10"/>
    <w:p w14:paraId="2C7BC95E" w14:textId="77777777" w:rsidR="00080512" w:rsidRDefault="00080512"/>
    <w:sectPr w:rsidR="00080512" w:rsidSect="00CA1A37">
      <w:headerReference w:type="default" r:id="rId12"/>
      <w:footerReference w:type="default" r:id="rId13"/>
      <w:footerReference w:type="first" r:id="rId14"/>
      <w:footnotePr>
        <w:numRestart w:val="eachSect"/>
      </w:footnotePr>
      <w:pgSz w:w="23820" w:h="16840" w:orient="landscape"/>
      <w:pgMar w:top="1133" w:right="1133" w:bottom="1133" w:left="1416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C2BD2" w14:textId="77777777" w:rsidR="00187C5E" w:rsidRDefault="00187C5E">
      <w:r>
        <w:separator/>
      </w:r>
    </w:p>
  </w:endnote>
  <w:endnote w:type="continuationSeparator" w:id="0">
    <w:p w14:paraId="1D58E5FC" w14:textId="77777777" w:rsidR="00187C5E" w:rsidRDefault="001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2DD2D" w14:textId="77777777" w:rsidR="00187C5E" w:rsidRDefault="00187C5E">
      <w:r>
        <w:separator/>
      </w:r>
    </w:p>
  </w:footnote>
  <w:footnote w:type="continuationSeparator" w:id="0">
    <w:p w14:paraId="53003962" w14:textId="77777777" w:rsidR="00187C5E" w:rsidRDefault="00187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C5A7E"/>
    <w:multiLevelType w:val="hybridMultilevel"/>
    <w:tmpl w:val="A0B612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DC1D51"/>
    <w:multiLevelType w:val="hybridMultilevel"/>
    <w:tmpl w:val="CB5295A6"/>
    <w:lvl w:ilvl="0" w:tplc="A2727DE2">
      <w:start w:val="1"/>
      <w:numFmt w:val="bullet"/>
      <w:lvlText w:val="─"/>
      <w:lvlJc w:val="left"/>
      <w:pPr>
        <w:tabs>
          <w:tab w:val="num" w:pos="928"/>
        </w:tabs>
        <w:ind w:left="928" w:hanging="360"/>
      </w:pPr>
      <w:rPr>
        <w:rFonts w:ascii="Calibri" w:hAnsi="Calibri" w:hint="default"/>
      </w:rPr>
    </w:lvl>
    <w:lvl w:ilvl="1" w:tplc="CAEC430C" w:tentative="1">
      <w:start w:val="1"/>
      <w:numFmt w:val="bullet"/>
      <w:lvlText w:val="─"/>
      <w:lvlJc w:val="left"/>
      <w:pPr>
        <w:tabs>
          <w:tab w:val="num" w:pos="1648"/>
        </w:tabs>
        <w:ind w:left="1648" w:hanging="360"/>
      </w:pPr>
      <w:rPr>
        <w:rFonts w:ascii="Calibri" w:hAnsi="Calibri" w:hint="default"/>
      </w:rPr>
    </w:lvl>
    <w:lvl w:ilvl="2" w:tplc="8D348B78" w:tentative="1">
      <w:start w:val="1"/>
      <w:numFmt w:val="bullet"/>
      <w:lvlText w:val="─"/>
      <w:lvlJc w:val="left"/>
      <w:pPr>
        <w:tabs>
          <w:tab w:val="num" w:pos="2368"/>
        </w:tabs>
        <w:ind w:left="2368" w:hanging="360"/>
      </w:pPr>
      <w:rPr>
        <w:rFonts w:ascii="Calibri" w:hAnsi="Calibri" w:hint="default"/>
      </w:rPr>
    </w:lvl>
    <w:lvl w:ilvl="3" w:tplc="1196FC82" w:tentative="1">
      <w:start w:val="1"/>
      <w:numFmt w:val="bullet"/>
      <w:lvlText w:val="─"/>
      <w:lvlJc w:val="left"/>
      <w:pPr>
        <w:tabs>
          <w:tab w:val="num" w:pos="3088"/>
        </w:tabs>
        <w:ind w:left="3088" w:hanging="360"/>
      </w:pPr>
      <w:rPr>
        <w:rFonts w:ascii="Calibri" w:hAnsi="Calibri" w:hint="default"/>
      </w:rPr>
    </w:lvl>
    <w:lvl w:ilvl="4" w:tplc="B9DE09B8" w:tentative="1">
      <w:start w:val="1"/>
      <w:numFmt w:val="bullet"/>
      <w:lvlText w:val="─"/>
      <w:lvlJc w:val="left"/>
      <w:pPr>
        <w:tabs>
          <w:tab w:val="num" w:pos="3808"/>
        </w:tabs>
        <w:ind w:left="3808" w:hanging="360"/>
      </w:pPr>
      <w:rPr>
        <w:rFonts w:ascii="Calibri" w:hAnsi="Calibri" w:hint="default"/>
      </w:rPr>
    </w:lvl>
    <w:lvl w:ilvl="5" w:tplc="47527204" w:tentative="1">
      <w:start w:val="1"/>
      <w:numFmt w:val="bullet"/>
      <w:lvlText w:val="─"/>
      <w:lvlJc w:val="left"/>
      <w:pPr>
        <w:tabs>
          <w:tab w:val="num" w:pos="4528"/>
        </w:tabs>
        <w:ind w:left="4528" w:hanging="360"/>
      </w:pPr>
      <w:rPr>
        <w:rFonts w:ascii="Calibri" w:hAnsi="Calibri" w:hint="default"/>
      </w:rPr>
    </w:lvl>
    <w:lvl w:ilvl="6" w:tplc="A4CEEF2C" w:tentative="1">
      <w:start w:val="1"/>
      <w:numFmt w:val="bullet"/>
      <w:lvlText w:val="─"/>
      <w:lvlJc w:val="left"/>
      <w:pPr>
        <w:tabs>
          <w:tab w:val="num" w:pos="5248"/>
        </w:tabs>
        <w:ind w:left="5248" w:hanging="360"/>
      </w:pPr>
      <w:rPr>
        <w:rFonts w:ascii="Calibri" w:hAnsi="Calibri" w:hint="default"/>
      </w:rPr>
    </w:lvl>
    <w:lvl w:ilvl="7" w:tplc="230E18B2" w:tentative="1">
      <w:start w:val="1"/>
      <w:numFmt w:val="bullet"/>
      <w:lvlText w:val="─"/>
      <w:lvlJc w:val="left"/>
      <w:pPr>
        <w:tabs>
          <w:tab w:val="num" w:pos="5968"/>
        </w:tabs>
        <w:ind w:left="5968" w:hanging="360"/>
      </w:pPr>
      <w:rPr>
        <w:rFonts w:ascii="Calibri" w:hAnsi="Calibri" w:hint="default"/>
      </w:rPr>
    </w:lvl>
    <w:lvl w:ilvl="8" w:tplc="BA7A5E68" w:tentative="1">
      <w:start w:val="1"/>
      <w:numFmt w:val="bullet"/>
      <w:lvlText w:val="─"/>
      <w:lvlJc w:val="left"/>
      <w:pPr>
        <w:tabs>
          <w:tab w:val="num" w:pos="6688"/>
        </w:tabs>
        <w:ind w:left="6688" w:hanging="360"/>
      </w:pPr>
      <w:rPr>
        <w:rFonts w:ascii="Calibri" w:hAnsi="Calibri" w:hint="default"/>
      </w:rPr>
    </w:lvl>
  </w:abstractNum>
  <w:abstractNum w:abstractNumId="9" w15:restartNumberingAfterBreak="0">
    <w:nsid w:val="7C1B64E1"/>
    <w:multiLevelType w:val="hybridMultilevel"/>
    <w:tmpl w:val="CB10BE40"/>
    <w:lvl w:ilvl="0" w:tplc="41EEB4C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D881B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3885AE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9408AD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610E00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17641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49E855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314D0D4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F082320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52"/>
    <w:rsid w:val="00026D5C"/>
    <w:rsid w:val="00031ACB"/>
    <w:rsid w:val="00033397"/>
    <w:rsid w:val="00040095"/>
    <w:rsid w:val="00042184"/>
    <w:rsid w:val="00051834"/>
    <w:rsid w:val="00054A22"/>
    <w:rsid w:val="00062023"/>
    <w:rsid w:val="000644EB"/>
    <w:rsid w:val="000655A6"/>
    <w:rsid w:val="0007374F"/>
    <w:rsid w:val="000741FE"/>
    <w:rsid w:val="00075997"/>
    <w:rsid w:val="00080512"/>
    <w:rsid w:val="00087C63"/>
    <w:rsid w:val="000970F7"/>
    <w:rsid w:val="000A365D"/>
    <w:rsid w:val="000A6269"/>
    <w:rsid w:val="000A6688"/>
    <w:rsid w:val="000A68F3"/>
    <w:rsid w:val="000B1FA3"/>
    <w:rsid w:val="000C47C3"/>
    <w:rsid w:val="000C7305"/>
    <w:rsid w:val="000D2064"/>
    <w:rsid w:val="000D2998"/>
    <w:rsid w:val="000D58AB"/>
    <w:rsid w:val="000D5C14"/>
    <w:rsid w:val="000E278A"/>
    <w:rsid w:val="000E4B59"/>
    <w:rsid w:val="001018E4"/>
    <w:rsid w:val="00104BC6"/>
    <w:rsid w:val="00112DB5"/>
    <w:rsid w:val="00114E2C"/>
    <w:rsid w:val="001247AA"/>
    <w:rsid w:val="001265D9"/>
    <w:rsid w:val="00126CA9"/>
    <w:rsid w:val="001300D2"/>
    <w:rsid w:val="00132538"/>
    <w:rsid w:val="00133525"/>
    <w:rsid w:val="001357DC"/>
    <w:rsid w:val="001416B7"/>
    <w:rsid w:val="001431B5"/>
    <w:rsid w:val="001462A8"/>
    <w:rsid w:val="00155516"/>
    <w:rsid w:val="0016353C"/>
    <w:rsid w:val="00164AF9"/>
    <w:rsid w:val="00165EE6"/>
    <w:rsid w:val="001718A8"/>
    <w:rsid w:val="001729FA"/>
    <w:rsid w:val="00182CE6"/>
    <w:rsid w:val="00187332"/>
    <w:rsid w:val="00187C5E"/>
    <w:rsid w:val="00194772"/>
    <w:rsid w:val="001A074C"/>
    <w:rsid w:val="001A4C42"/>
    <w:rsid w:val="001B4D3F"/>
    <w:rsid w:val="001C21C3"/>
    <w:rsid w:val="001D02C2"/>
    <w:rsid w:val="001E4F49"/>
    <w:rsid w:val="001E6EB2"/>
    <w:rsid w:val="001E732B"/>
    <w:rsid w:val="001F0C1D"/>
    <w:rsid w:val="001F1132"/>
    <w:rsid w:val="001F168B"/>
    <w:rsid w:val="001F1EBD"/>
    <w:rsid w:val="00212AB3"/>
    <w:rsid w:val="00212BAE"/>
    <w:rsid w:val="00230DA7"/>
    <w:rsid w:val="00231873"/>
    <w:rsid w:val="002347A2"/>
    <w:rsid w:val="002427D9"/>
    <w:rsid w:val="00247926"/>
    <w:rsid w:val="00250F32"/>
    <w:rsid w:val="0025584B"/>
    <w:rsid w:val="002634B7"/>
    <w:rsid w:val="002675F0"/>
    <w:rsid w:val="00276EE4"/>
    <w:rsid w:val="00294E47"/>
    <w:rsid w:val="002A133B"/>
    <w:rsid w:val="002A52AA"/>
    <w:rsid w:val="002B6339"/>
    <w:rsid w:val="002C7C06"/>
    <w:rsid w:val="002E00EE"/>
    <w:rsid w:val="002E555B"/>
    <w:rsid w:val="002F340B"/>
    <w:rsid w:val="002F6B48"/>
    <w:rsid w:val="00303ADC"/>
    <w:rsid w:val="00314FF2"/>
    <w:rsid w:val="003172DC"/>
    <w:rsid w:val="003251B9"/>
    <w:rsid w:val="00330A27"/>
    <w:rsid w:val="00331EE3"/>
    <w:rsid w:val="0034052F"/>
    <w:rsid w:val="0034070F"/>
    <w:rsid w:val="0035462D"/>
    <w:rsid w:val="00355119"/>
    <w:rsid w:val="003735A2"/>
    <w:rsid w:val="0037446E"/>
    <w:rsid w:val="003765B8"/>
    <w:rsid w:val="0037777C"/>
    <w:rsid w:val="003A0483"/>
    <w:rsid w:val="003A76CF"/>
    <w:rsid w:val="003B57B3"/>
    <w:rsid w:val="003C3971"/>
    <w:rsid w:val="003E2F3F"/>
    <w:rsid w:val="003E7753"/>
    <w:rsid w:val="00405DE0"/>
    <w:rsid w:val="0040718D"/>
    <w:rsid w:val="00423334"/>
    <w:rsid w:val="00425DC6"/>
    <w:rsid w:val="004345EC"/>
    <w:rsid w:val="00434669"/>
    <w:rsid w:val="00436007"/>
    <w:rsid w:val="004404A5"/>
    <w:rsid w:val="00441776"/>
    <w:rsid w:val="00447857"/>
    <w:rsid w:val="004516C7"/>
    <w:rsid w:val="00464AFC"/>
    <w:rsid w:val="004826A9"/>
    <w:rsid w:val="00494877"/>
    <w:rsid w:val="004B3064"/>
    <w:rsid w:val="004B5392"/>
    <w:rsid w:val="004C1601"/>
    <w:rsid w:val="004D3178"/>
    <w:rsid w:val="004D3578"/>
    <w:rsid w:val="004E213A"/>
    <w:rsid w:val="004F0988"/>
    <w:rsid w:val="004F2142"/>
    <w:rsid w:val="004F3340"/>
    <w:rsid w:val="004F3E3D"/>
    <w:rsid w:val="004F3FC3"/>
    <w:rsid w:val="005013E5"/>
    <w:rsid w:val="00515AE4"/>
    <w:rsid w:val="00522A94"/>
    <w:rsid w:val="0053388B"/>
    <w:rsid w:val="00535773"/>
    <w:rsid w:val="00543E6C"/>
    <w:rsid w:val="005441F6"/>
    <w:rsid w:val="00551363"/>
    <w:rsid w:val="005532C0"/>
    <w:rsid w:val="005619F8"/>
    <w:rsid w:val="0056236F"/>
    <w:rsid w:val="00565087"/>
    <w:rsid w:val="00571C84"/>
    <w:rsid w:val="00572E14"/>
    <w:rsid w:val="00592192"/>
    <w:rsid w:val="005973BE"/>
    <w:rsid w:val="005A093B"/>
    <w:rsid w:val="005A3830"/>
    <w:rsid w:val="005A5986"/>
    <w:rsid w:val="005B0B43"/>
    <w:rsid w:val="005C5495"/>
    <w:rsid w:val="005C63FF"/>
    <w:rsid w:val="005D1F6E"/>
    <w:rsid w:val="005D2E01"/>
    <w:rsid w:val="005D4385"/>
    <w:rsid w:val="005D6163"/>
    <w:rsid w:val="005D7526"/>
    <w:rsid w:val="005E587F"/>
    <w:rsid w:val="005E69AE"/>
    <w:rsid w:val="005F529C"/>
    <w:rsid w:val="005F5987"/>
    <w:rsid w:val="00602A59"/>
    <w:rsid w:val="00602AEA"/>
    <w:rsid w:val="00604EFF"/>
    <w:rsid w:val="00607E3C"/>
    <w:rsid w:val="00612B57"/>
    <w:rsid w:val="00614FDF"/>
    <w:rsid w:val="00623A42"/>
    <w:rsid w:val="006246A7"/>
    <w:rsid w:val="0062595A"/>
    <w:rsid w:val="0063543D"/>
    <w:rsid w:val="00647114"/>
    <w:rsid w:val="006518DA"/>
    <w:rsid w:val="00654787"/>
    <w:rsid w:val="00654989"/>
    <w:rsid w:val="00655891"/>
    <w:rsid w:val="00667164"/>
    <w:rsid w:val="00690481"/>
    <w:rsid w:val="006915D7"/>
    <w:rsid w:val="006A323F"/>
    <w:rsid w:val="006A6BD0"/>
    <w:rsid w:val="006B30D0"/>
    <w:rsid w:val="006C3D95"/>
    <w:rsid w:val="006E3C1C"/>
    <w:rsid w:val="006E3DB1"/>
    <w:rsid w:val="006E5C86"/>
    <w:rsid w:val="006E73A3"/>
    <w:rsid w:val="00700306"/>
    <w:rsid w:val="0070607B"/>
    <w:rsid w:val="00706528"/>
    <w:rsid w:val="007071A1"/>
    <w:rsid w:val="0071280F"/>
    <w:rsid w:val="00712A2B"/>
    <w:rsid w:val="00713C44"/>
    <w:rsid w:val="007317A7"/>
    <w:rsid w:val="00734A5B"/>
    <w:rsid w:val="0074026F"/>
    <w:rsid w:val="007429F6"/>
    <w:rsid w:val="00744E76"/>
    <w:rsid w:val="00745D32"/>
    <w:rsid w:val="007469C7"/>
    <w:rsid w:val="00752198"/>
    <w:rsid w:val="00752CCE"/>
    <w:rsid w:val="00753881"/>
    <w:rsid w:val="00756E85"/>
    <w:rsid w:val="007634A5"/>
    <w:rsid w:val="00774DA4"/>
    <w:rsid w:val="00777DE6"/>
    <w:rsid w:val="00781F0F"/>
    <w:rsid w:val="00782EF3"/>
    <w:rsid w:val="00793DF9"/>
    <w:rsid w:val="00795206"/>
    <w:rsid w:val="007A2868"/>
    <w:rsid w:val="007B56DB"/>
    <w:rsid w:val="007B600E"/>
    <w:rsid w:val="007B7937"/>
    <w:rsid w:val="007C7F7E"/>
    <w:rsid w:val="007E0107"/>
    <w:rsid w:val="007E106F"/>
    <w:rsid w:val="007E778F"/>
    <w:rsid w:val="007F0F4A"/>
    <w:rsid w:val="007F27A5"/>
    <w:rsid w:val="0080104E"/>
    <w:rsid w:val="008017BF"/>
    <w:rsid w:val="008028A4"/>
    <w:rsid w:val="00803BF8"/>
    <w:rsid w:val="00803FA0"/>
    <w:rsid w:val="00815191"/>
    <w:rsid w:val="00816B06"/>
    <w:rsid w:val="00820B25"/>
    <w:rsid w:val="0082139C"/>
    <w:rsid w:val="00830747"/>
    <w:rsid w:val="008330B3"/>
    <w:rsid w:val="00855D88"/>
    <w:rsid w:val="00876725"/>
    <w:rsid w:val="008768CA"/>
    <w:rsid w:val="00887CC4"/>
    <w:rsid w:val="008A00F6"/>
    <w:rsid w:val="008A22DD"/>
    <w:rsid w:val="008B1DED"/>
    <w:rsid w:val="008B5422"/>
    <w:rsid w:val="008C384C"/>
    <w:rsid w:val="008D1146"/>
    <w:rsid w:val="008D3B0B"/>
    <w:rsid w:val="008D4A90"/>
    <w:rsid w:val="008E3F25"/>
    <w:rsid w:val="008E7442"/>
    <w:rsid w:val="008E7986"/>
    <w:rsid w:val="008E7A16"/>
    <w:rsid w:val="008F5CEB"/>
    <w:rsid w:val="0090271F"/>
    <w:rsid w:val="00902E23"/>
    <w:rsid w:val="009114D7"/>
    <w:rsid w:val="0091348E"/>
    <w:rsid w:val="00917CCB"/>
    <w:rsid w:val="00942EC2"/>
    <w:rsid w:val="009704EE"/>
    <w:rsid w:val="009767A4"/>
    <w:rsid w:val="00997130"/>
    <w:rsid w:val="00997C58"/>
    <w:rsid w:val="009B0E31"/>
    <w:rsid w:val="009B2322"/>
    <w:rsid w:val="009F0E8D"/>
    <w:rsid w:val="009F37B7"/>
    <w:rsid w:val="009F5E43"/>
    <w:rsid w:val="009F6A53"/>
    <w:rsid w:val="00A10F02"/>
    <w:rsid w:val="00A164B4"/>
    <w:rsid w:val="00A17802"/>
    <w:rsid w:val="00A2362F"/>
    <w:rsid w:val="00A26956"/>
    <w:rsid w:val="00A41E85"/>
    <w:rsid w:val="00A53724"/>
    <w:rsid w:val="00A67699"/>
    <w:rsid w:val="00A73129"/>
    <w:rsid w:val="00A817A7"/>
    <w:rsid w:val="00A82346"/>
    <w:rsid w:val="00A826A1"/>
    <w:rsid w:val="00A92BA1"/>
    <w:rsid w:val="00A93305"/>
    <w:rsid w:val="00AC42F6"/>
    <w:rsid w:val="00AC6BC6"/>
    <w:rsid w:val="00AC6DB6"/>
    <w:rsid w:val="00AD084F"/>
    <w:rsid w:val="00AD5712"/>
    <w:rsid w:val="00AE3797"/>
    <w:rsid w:val="00AE4140"/>
    <w:rsid w:val="00AF5FF7"/>
    <w:rsid w:val="00B0333C"/>
    <w:rsid w:val="00B132B8"/>
    <w:rsid w:val="00B15449"/>
    <w:rsid w:val="00B169CD"/>
    <w:rsid w:val="00B2039B"/>
    <w:rsid w:val="00B242EC"/>
    <w:rsid w:val="00B2481F"/>
    <w:rsid w:val="00B27305"/>
    <w:rsid w:val="00B401C8"/>
    <w:rsid w:val="00B42598"/>
    <w:rsid w:val="00B46077"/>
    <w:rsid w:val="00B55C02"/>
    <w:rsid w:val="00B639AF"/>
    <w:rsid w:val="00B64E70"/>
    <w:rsid w:val="00B76B17"/>
    <w:rsid w:val="00B93086"/>
    <w:rsid w:val="00BA19ED"/>
    <w:rsid w:val="00BA300B"/>
    <w:rsid w:val="00BA4B8D"/>
    <w:rsid w:val="00BC0F7D"/>
    <w:rsid w:val="00BC4416"/>
    <w:rsid w:val="00BD401E"/>
    <w:rsid w:val="00BD658E"/>
    <w:rsid w:val="00BE3255"/>
    <w:rsid w:val="00BE414D"/>
    <w:rsid w:val="00BF128E"/>
    <w:rsid w:val="00C0487B"/>
    <w:rsid w:val="00C1496A"/>
    <w:rsid w:val="00C33079"/>
    <w:rsid w:val="00C43826"/>
    <w:rsid w:val="00C45231"/>
    <w:rsid w:val="00C57F61"/>
    <w:rsid w:val="00C65899"/>
    <w:rsid w:val="00C663E3"/>
    <w:rsid w:val="00C724D1"/>
    <w:rsid w:val="00C72678"/>
    <w:rsid w:val="00C72833"/>
    <w:rsid w:val="00C74454"/>
    <w:rsid w:val="00C80F1D"/>
    <w:rsid w:val="00C93F40"/>
    <w:rsid w:val="00CA1A37"/>
    <w:rsid w:val="00CA3D0C"/>
    <w:rsid w:val="00CB76BF"/>
    <w:rsid w:val="00CF20E3"/>
    <w:rsid w:val="00D14C7B"/>
    <w:rsid w:val="00D309CC"/>
    <w:rsid w:val="00D42704"/>
    <w:rsid w:val="00D46431"/>
    <w:rsid w:val="00D56A52"/>
    <w:rsid w:val="00D57972"/>
    <w:rsid w:val="00D675A9"/>
    <w:rsid w:val="00D738D6"/>
    <w:rsid w:val="00D73F34"/>
    <w:rsid w:val="00D755EB"/>
    <w:rsid w:val="00D87E00"/>
    <w:rsid w:val="00D90D8F"/>
    <w:rsid w:val="00D9134D"/>
    <w:rsid w:val="00D92193"/>
    <w:rsid w:val="00D92ACE"/>
    <w:rsid w:val="00D9381C"/>
    <w:rsid w:val="00DA7A03"/>
    <w:rsid w:val="00DB1818"/>
    <w:rsid w:val="00DB7CB6"/>
    <w:rsid w:val="00DC2F94"/>
    <w:rsid w:val="00DC309B"/>
    <w:rsid w:val="00DC4DA2"/>
    <w:rsid w:val="00DC6353"/>
    <w:rsid w:val="00DD275E"/>
    <w:rsid w:val="00DD4C17"/>
    <w:rsid w:val="00DE7963"/>
    <w:rsid w:val="00DE7EB0"/>
    <w:rsid w:val="00DF2B1F"/>
    <w:rsid w:val="00DF6189"/>
    <w:rsid w:val="00DF62CD"/>
    <w:rsid w:val="00E01B29"/>
    <w:rsid w:val="00E16509"/>
    <w:rsid w:val="00E275EE"/>
    <w:rsid w:val="00E44582"/>
    <w:rsid w:val="00E477FA"/>
    <w:rsid w:val="00E47D65"/>
    <w:rsid w:val="00E52814"/>
    <w:rsid w:val="00E61F48"/>
    <w:rsid w:val="00E72324"/>
    <w:rsid w:val="00E72ABE"/>
    <w:rsid w:val="00E77645"/>
    <w:rsid w:val="00E874B5"/>
    <w:rsid w:val="00EA1F10"/>
    <w:rsid w:val="00EC2046"/>
    <w:rsid w:val="00EC4A25"/>
    <w:rsid w:val="00EE0A7F"/>
    <w:rsid w:val="00EE271A"/>
    <w:rsid w:val="00EE40A1"/>
    <w:rsid w:val="00EE5AA7"/>
    <w:rsid w:val="00EE7E5C"/>
    <w:rsid w:val="00F01FD9"/>
    <w:rsid w:val="00F025A2"/>
    <w:rsid w:val="00F04712"/>
    <w:rsid w:val="00F11A80"/>
    <w:rsid w:val="00F12047"/>
    <w:rsid w:val="00F21311"/>
    <w:rsid w:val="00F22EC7"/>
    <w:rsid w:val="00F325C8"/>
    <w:rsid w:val="00F32B0A"/>
    <w:rsid w:val="00F4314B"/>
    <w:rsid w:val="00F62AEB"/>
    <w:rsid w:val="00F63457"/>
    <w:rsid w:val="00F653B8"/>
    <w:rsid w:val="00F70647"/>
    <w:rsid w:val="00F8674C"/>
    <w:rsid w:val="00F907DC"/>
    <w:rsid w:val="00F93F26"/>
    <w:rsid w:val="00FA1266"/>
    <w:rsid w:val="00FA442A"/>
    <w:rsid w:val="00FA48E3"/>
    <w:rsid w:val="00FA63FF"/>
    <w:rsid w:val="00FC1192"/>
    <w:rsid w:val="00FE05D7"/>
    <w:rsid w:val="00FE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469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469C7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816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6B06"/>
  </w:style>
  <w:style w:type="character" w:customStyle="1" w:styleId="CommentTextChar">
    <w:name w:val="Comment Text Char"/>
    <w:basedOn w:val="DefaultParagraphFont"/>
    <w:link w:val="CommentText"/>
    <w:rsid w:val="00816B0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6B06"/>
    <w:rPr>
      <w:b/>
      <w:bCs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65478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654787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42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FDBE1-8501-4A0A-892C-8DE18858FA5D}">
  <ds:schemaRefs>
    <ds:schemaRef ds:uri="http://purl.org/dc/elements/1.1/"/>
    <ds:schemaRef ds:uri="http://schemas.microsoft.com/office/2006/metadata/properties"/>
    <ds:schemaRef ds:uri="b0bf9816-4b1b-472f-942d-7a1ab4f20fe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6371f0-8b7d-4d87-9d76-b718812ff4d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EBF19C-6FD1-41BD-B699-C31046AE8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19F3D4-51E9-4642-8724-158C14962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DBDF2-A7D3-4C9F-8B23-59AA0419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563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chparkqc@qti.qualcomm.com</dc:creator>
  <cp:keywords/>
  <dc:description/>
  <cp:lastModifiedBy>CH</cp:lastModifiedBy>
  <cp:revision>29</cp:revision>
  <cp:lastPrinted>2019-02-25T11:05:00Z</cp:lastPrinted>
  <dcterms:created xsi:type="dcterms:W3CDTF">2021-01-09T17:54:00Z</dcterms:created>
  <dcterms:modified xsi:type="dcterms:W3CDTF">2021-01-15T22:00:00Z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